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05708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057082">
        <w:rPr>
          <w:rFonts w:ascii="Arial" w:hAnsi="Arial" w:cs="Arial"/>
          <w:b/>
          <w:sz w:val="20"/>
          <w:szCs w:val="20"/>
        </w:rPr>
        <w:t>Notice of accepting bankruptcy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57082">
        <w:rPr>
          <w:rFonts w:ascii="Arial" w:hAnsi="Arial" w:cs="Arial"/>
          <w:sz w:val="20"/>
          <w:szCs w:val="20"/>
        </w:rPr>
        <w:t>14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057082" w:rsidRPr="00057082">
        <w:rPr>
          <w:rFonts w:ascii="Arial" w:hAnsi="Arial" w:cs="Arial"/>
          <w:sz w:val="20"/>
          <w:szCs w:val="20"/>
        </w:rPr>
        <w:t>Saigontourist</w:t>
      </w:r>
      <w:proofErr w:type="spellEnd"/>
      <w:r w:rsidR="00057082" w:rsidRPr="00057082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="00057082" w:rsidRPr="00057082">
        <w:rPr>
          <w:rFonts w:ascii="Arial" w:hAnsi="Arial" w:cs="Arial"/>
          <w:sz w:val="20"/>
          <w:szCs w:val="20"/>
        </w:rPr>
        <w:t>Coporation</w:t>
      </w:r>
      <w:proofErr w:type="spellEnd"/>
      <w:r w:rsidR="0005708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057082">
        <w:rPr>
          <w:rFonts w:ascii="Arial" w:hAnsi="Arial" w:cs="Arial"/>
          <w:sz w:val="20"/>
          <w:szCs w:val="20"/>
        </w:rPr>
        <w:t>acceptance of</w:t>
      </w:r>
      <w:r w:rsidR="00057082" w:rsidRPr="00057082">
        <w:rPr>
          <w:rFonts w:ascii="Arial" w:hAnsi="Arial" w:cs="Arial"/>
          <w:sz w:val="20"/>
          <w:szCs w:val="20"/>
        </w:rPr>
        <w:t xml:space="preserve"> bankruptcy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406D45" w:rsidRDefault="00406D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</w:t>
      </w:r>
    </w:p>
    <w:p w:rsidR="00406D45" w:rsidRDefault="000570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7082">
        <w:rPr>
          <w:rFonts w:ascii="Arial" w:hAnsi="Arial" w:cs="Arial"/>
          <w:sz w:val="20"/>
          <w:szCs w:val="20"/>
        </w:rPr>
        <w:t xml:space="preserve">- Ho Chi Minh City People's </w:t>
      </w:r>
      <w:proofErr w:type="spellStart"/>
      <w:r w:rsidRPr="00057082">
        <w:rPr>
          <w:rFonts w:ascii="Arial" w:hAnsi="Arial" w:cs="Arial"/>
          <w:sz w:val="20"/>
          <w:szCs w:val="20"/>
        </w:rPr>
        <w:t>Procuracy</w:t>
      </w:r>
      <w:proofErr w:type="spellEnd"/>
      <w:r w:rsidRPr="00057082">
        <w:rPr>
          <w:rFonts w:ascii="Arial" w:hAnsi="Arial" w:cs="Arial"/>
          <w:sz w:val="20"/>
          <w:szCs w:val="20"/>
        </w:rPr>
        <w:t xml:space="preserve">;  </w:t>
      </w:r>
    </w:p>
    <w:p w:rsidR="00406D45" w:rsidRDefault="000570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7082">
        <w:rPr>
          <w:rFonts w:ascii="Arial" w:hAnsi="Arial" w:cs="Arial"/>
          <w:sz w:val="20"/>
          <w:szCs w:val="20"/>
        </w:rPr>
        <w:t xml:space="preserve">- Mr. Nguyen Van Hong; </w:t>
      </w:r>
    </w:p>
    <w:p w:rsidR="00406D45" w:rsidRDefault="000570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7082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406D45" w:rsidRPr="00406D45">
        <w:rPr>
          <w:rFonts w:ascii="Arial" w:hAnsi="Arial" w:cs="Arial"/>
          <w:sz w:val="20"/>
          <w:szCs w:val="20"/>
        </w:rPr>
        <w:t>Saigontourist</w:t>
      </w:r>
      <w:proofErr w:type="spellEnd"/>
      <w:r w:rsidR="00406D45" w:rsidRPr="00406D45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="00406D45" w:rsidRPr="00406D45">
        <w:rPr>
          <w:rFonts w:ascii="Arial" w:hAnsi="Arial" w:cs="Arial"/>
          <w:sz w:val="20"/>
          <w:szCs w:val="20"/>
        </w:rPr>
        <w:t>Coporation</w:t>
      </w:r>
      <w:proofErr w:type="spellEnd"/>
      <w:r w:rsidR="00406D45" w:rsidRPr="00406D45">
        <w:rPr>
          <w:rFonts w:ascii="Arial" w:hAnsi="Arial" w:cs="Arial"/>
          <w:sz w:val="20"/>
          <w:szCs w:val="20"/>
        </w:rPr>
        <w:t xml:space="preserve"> </w:t>
      </w:r>
    </w:p>
    <w:p w:rsidR="00CE35DA" w:rsidRDefault="000570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7082">
        <w:rPr>
          <w:rFonts w:ascii="Arial" w:hAnsi="Arial" w:cs="Arial"/>
          <w:sz w:val="20"/>
          <w:szCs w:val="20"/>
        </w:rPr>
        <w:t>On May 14, 2020, the People's Court of Ho Chi Minh City accepted the reques</w:t>
      </w:r>
      <w:r w:rsidR="00CE35DA">
        <w:rPr>
          <w:rFonts w:ascii="Arial" w:hAnsi="Arial" w:cs="Arial"/>
          <w:sz w:val="20"/>
          <w:szCs w:val="20"/>
        </w:rPr>
        <w:t>t to open bankruptcy procedures No.04/2020/TL – MTTPS</w:t>
      </w:r>
    </w:p>
    <w:p w:rsidR="00CE35DA" w:rsidRDefault="000570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7082">
        <w:rPr>
          <w:rFonts w:ascii="Arial" w:hAnsi="Arial" w:cs="Arial"/>
          <w:sz w:val="20"/>
          <w:szCs w:val="20"/>
        </w:rPr>
        <w:t xml:space="preserve">Requesting party: Mr. Nguyen Van Hong </w:t>
      </w:r>
    </w:p>
    <w:p w:rsidR="00CA3BCC" w:rsidRDefault="000570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7082">
        <w:rPr>
          <w:rFonts w:ascii="Arial" w:hAnsi="Arial" w:cs="Arial"/>
          <w:sz w:val="20"/>
          <w:szCs w:val="20"/>
        </w:rPr>
        <w:t xml:space="preserve">Address: Floor 2-202, 60-68 Nguyen </w:t>
      </w:r>
      <w:proofErr w:type="spellStart"/>
      <w:r w:rsidRPr="00057082">
        <w:rPr>
          <w:rFonts w:ascii="Arial" w:hAnsi="Arial" w:cs="Arial"/>
          <w:sz w:val="20"/>
          <w:szCs w:val="20"/>
        </w:rPr>
        <w:t>Trai</w:t>
      </w:r>
      <w:proofErr w:type="spellEnd"/>
      <w:r w:rsidRPr="00057082">
        <w:rPr>
          <w:rFonts w:ascii="Arial" w:hAnsi="Arial" w:cs="Arial"/>
          <w:sz w:val="20"/>
          <w:szCs w:val="20"/>
        </w:rPr>
        <w:t>, Ben Thanh Ward,</w:t>
      </w:r>
      <w:r w:rsidR="00CA3BCC">
        <w:rPr>
          <w:rFonts w:ascii="Arial" w:hAnsi="Arial" w:cs="Arial"/>
          <w:sz w:val="20"/>
          <w:szCs w:val="20"/>
        </w:rPr>
        <w:t xml:space="preserve"> District 1, Ho Chi Minh City</w:t>
      </w:r>
    </w:p>
    <w:p w:rsidR="00CA3BCC" w:rsidRDefault="000570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7082">
        <w:rPr>
          <w:rFonts w:ascii="Arial" w:hAnsi="Arial" w:cs="Arial"/>
          <w:sz w:val="20"/>
          <w:szCs w:val="20"/>
        </w:rPr>
        <w:t xml:space="preserve">The requested party: </w:t>
      </w:r>
      <w:proofErr w:type="spellStart"/>
      <w:r w:rsidR="00CA3BCC" w:rsidRPr="00CA3BCC">
        <w:rPr>
          <w:rFonts w:ascii="Arial" w:hAnsi="Arial" w:cs="Arial"/>
          <w:sz w:val="20"/>
          <w:szCs w:val="20"/>
        </w:rPr>
        <w:t>Saigontourist</w:t>
      </w:r>
      <w:proofErr w:type="spellEnd"/>
      <w:r w:rsidR="00CA3BCC" w:rsidRPr="00CA3BCC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="00CA3BCC" w:rsidRPr="00CA3BCC">
        <w:rPr>
          <w:rFonts w:ascii="Arial" w:hAnsi="Arial" w:cs="Arial"/>
          <w:sz w:val="20"/>
          <w:szCs w:val="20"/>
        </w:rPr>
        <w:t>Coporation</w:t>
      </w:r>
      <w:proofErr w:type="spellEnd"/>
      <w:r w:rsidR="00CA3BCC" w:rsidRPr="00CA3BCC">
        <w:rPr>
          <w:rFonts w:ascii="Arial" w:hAnsi="Arial" w:cs="Arial"/>
          <w:sz w:val="20"/>
          <w:szCs w:val="20"/>
        </w:rPr>
        <w:t xml:space="preserve"> </w:t>
      </w:r>
    </w:p>
    <w:p w:rsidR="0007586C" w:rsidRDefault="000570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7082">
        <w:rPr>
          <w:rFonts w:ascii="Arial" w:hAnsi="Arial" w:cs="Arial"/>
          <w:sz w:val="20"/>
          <w:szCs w:val="20"/>
        </w:rPr>
        <w:t>Address: 25 Pasteur, Nguy</w:t>
      </w:r>
      <w:r w:rsidR="0007586C">
        <w:rPr>
          <w:rFonts w:ascii="Arial" w:hAnsi="Arial" w:cs="Arial"/>
          <w:sz w:val="20"/>
          <w:szCs w:val="20"/>
        </w:rPr>
        <w:t xml:space="preserve">en Thai </w:t>
      </w:r>
      <w:proofErr w:type="spellStart"/>
      <w:r w:rsidR="0007586C">
        <w:rPr>
          <w:rFonts w:ascii="Arial" w:hAnsi="Arial" w:cs="Arial"/>
          <w:sz w:val="20"/>
          <w:szCs w:val="20"/>
        </w:rPr>
        <w:t>Bi</w:t>
      </w:r>
      <w:r w:rsidRPr="00057082">
        <w:rPr>
          <w:rFonts w:ascii="Arial" w:hAnsi="Arial" w:cs="Arial"/>
          <w:sz w:val="20"/>
          <w:szCs w:val="20"/>
        </w:rPr>
        <w:t>nh</w:t>
      </w:r>
      <w:proofErr w:type="spellEnd"/>
      <w:r w:rsidRPr="00057082">
        <w:rPr>
          <w:rFonts w:ascii="Arial" w:hAnsi="Arial" w:cs="Arial"/>
          <w:sz w:val="20"/>
          <w:szCs w:val="20"/>
        </w:rPr>
        <w:t xml:space="preserve"> Ward, District 1, Ho Chi Minh Ci</w:t>
      </w:r>
      <w:r w:rsidR="0007586C">
        <w:rPr>
          <w:rFonts w:ascii="Arial" w:hAnsi="Arial" w:cs="Arial"/>
          <w:sz w:val="20"/>
          <w:szCs w:val="20"/>
        </w:rPr>
        <w:t>ty</w:t>
      </w:r>
    </w:p>
    <w:p w:rsidR="0007586C" w:rsidRDefault="000570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7082">
        <w:rPr>
          <w:rFonts w:ascii="Arial" w:hAnsi="Arial" w:cs="Arial"/>
          <w:sz w:val="20"/>
          <w:szCs w:val="20"/>
        </w:rPr>
        <w:t xml:space="preserve">The specific issues the petitioner filed with the Court include: </w:t>
      </w:r>
    </w:p>
    <w:p w:rsidR="00EE1E34" w:rsidRDefault="000570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7082">
        <w:rPr>
          <w:rFonts w:ascii="Arial" w:hAnsi="Arial" w:cs="Arial"/>
          <w:sz w:val="20"/>
          <w:szCs w:val="20"/>
        </w:rPr>
        <w:t xml:space="preserve">Mr. Nguyen Van Hong is a shareholder of </w:t>
      </w:r>
      <w:proofErr w:type="spellStart"/>
      <w:r w:rsidR="0007586C" w:rsidRPr="0007586C">
        <w:rPr>
          <w:rFonts w:ascii="Arial" w:hAnsi="Arial" w:cs="Arial"/>
          <w:sz w:val="20"/>
          <w:szCs w:val="20"/>
        </w:rPr>
        <w:t>Saigontourist</w:t>
      </w:r>
      <w:proofErr w:type="spellEnd"/>
      <w:r w:rsidR="0007586C" w:rsidRPr="0007586C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="0007586C" w:rsidRPr="0007586C">
        <w:rPr>
          <w:rFonts w:ascii="Arial" w:hAnsi="Arial" w:cs="Arial"/>
          <w:sz w:val="20"/>
          <w:szCs w:val="20"/>
        </w:rPr>
        <w:t>Coporation</w:t>
      </w:r>
      <w:proofErr w:type="spellEnd"/>
      <w:r w:rsidR="0007586C">
        <w:rPr>
          <w:rFonts w:ascii="Arial" w:hAnsi="Arial" w:cs="Arial"/>
          <w:sz w:val="20"/>
          <w:szCs w:val="20"/>
        </w:rPr>
        <w:t xml:space="preserve">, </w:t>
      </w:r>
      <w:r w:rsidRPr="00057082">
        <w:rPr>
          <w:rFonts w:ascii="Arial" w:hAnsi="Arial" w:cs="Arial"/>
          <w:sz w:val="20"/>
          <w:szCs w:val="20"/>
        </w:rPr>
        <w:t>owns 1,744,368 s</w:t>
      </w:r>
      <w:r w:rsidR="00551837">
        <w:rPr>
          <w:rFonts w:ascii="Arial" w:hAnsi="Arial" w:cs="Arial"/>
          <w:sz w:val="20"/>
          <w:szCs w:val="20"/>
        </w:rPr>
        <w:t>hares (according to the balance confirmation of</w:t>
      </w:r>
      <w:r w:rsidRPr="00057082">
        <w:rPr>
          <w:rFonts w:ascii="Arial" w:hAnsi="Arial" w:cs="Arial"/>
          <w:sz w:val="20"/>
          <w:szCs w:val="20"/>
        </w:rPr>
        <w:t xml:space="preserve"> Securities</w:t>
      </w:r>
      <w:r w:rsidR="00EE1E34">
        <w:rPr>
          <w:rFonts w:ascii="Arial" w:hAnsi="Arial" w:cs="Arial"/>
          <w:sz w:val="20"/>
          <w:szCs w:val="20"/>
        </w:rPr>
        <w:t xml:space="preserve"> company of</w:t>
      </w:r>
      <w:r w:rsidRPr="00057082">
        <w:rPr>
          <w:rFonts w:ascii="Arial" w:hAnsi="Arial" w:cs="Arial"/>
          <w:sz w:val="20"/>
          <w:szCs w:val="20"/>
        </w:rPr>
        <w:t xml:space="preserve"> Joint Stock Commercial Bank for Foreign Trade of Vietnam on April 17, 2020)</w:t>
      </w:r>
      <w:r w:rsidR="00EE1E34">
        <w:rPr>
          <w:rFonts w:ascii="Arial" w:hAnsi="Arial" w:cs="Arial"/>
          <w:sz w:val="20"/>
          <w:szCs w:val="20"/>
        </w:rPr>
        <w:t>,</w:t>
      </w:r>
      <w:r w:rsidRPr="00057082">
        <w:rPr>
          <w:rFonts w:ascii="Arial" w:hAnsi="Arial" w:cs="Arial"/>
          <w:sz w:val="20"/>
          <w:szCs w:val="20"/>
        </w:rPr>
        <w:t xml:space="preserve"> corresponding to 21.8% of the charter capital of the Company </w:t>
      </w:r>
    </w:p>
    <w:p w:rsidR="00F06E45" w:rsidRDefault="000570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7082">
        <w:rPr>
          <w:rFonts w:ascii="Arial" w:hAnsi="Arial" w:cs="Arial"/>
          <w:sz w:val="20"/>
          <w:szCs w:val="20"/>
        </w:rPr>
        <w:t xml:space="preserve">Mr. Nguyen Van Hong said that </w:t>
      </w:r>
      <w:proofErr w:type="spellStart"/>
      <w:r w:rsidR="00EE1E34" w:rsidRPr="00EE1E34">
        <w:rPr>
          <w:rFonts w:ascii="Arial" w:hAnsi="Arial" w:cs="Arial"/>
          <w:sz w:val="20"/>
          <w:szCs w:val="20"/>
        </w:rPr>
        <w:t>Saigontourist</w:t>
      </w:r>
      <w:proofErr w:type="spellEnd"/>
      <w:r w:rsidR="00EE1E34" w:rsidRPr="00EE1E34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="00EE1E34" w:rsidRPr="00EE1E34">
        <w:rPr>
          <w:rFonts w:ascii="Arial" w:hAnsi="Arial" w:cs="Arial"/>
          <w:sz w:val="20"/>
          <w:szCs w:val="20"/>
        </w:rPr>
        <w:t>Coporation</w:t>
      </w:r>
      <w:proofErr w:type="spellEnd"/>
      <w:r w:rsidR="00EE1E34" w:rsidRPr="00EE1E34">
        <w:rPr>
          <w:rFonts w:ascii="Arial" w:hAnsi="Arial" w:cs="Arial"/>
          <w:sz w:val="20"/>
          <w:szCs w:val="20"/>
        </w:rPr>
        <w:t xml:space="preserve"> </w:t>
      </w:r>
      <w:r w:rsidR="00F06E45">
        <w:rPr>
          <w:rFonts w:ascii="Arial" w:hAnsi="Arial" w:cs="Arial"/>
          <w:sz w:val="20"/>
          <w:szCs w:val="20"/>
        </w:rPr>
        <w:t>operated inefficiently</w:t>
      </w:r>
      <w:r w:rsidRPr="00057082">
        <w:rPr>
          <w:rFonts w:ascii="Arial" w:hAnsi="Arial" w:cs="Arial"/>
          <w:sz w:val="20"/>
          <w:szCs w:val="20"/>
        </w:rPr>
        <w:t xml:space="preserve">, resulting in loss </w:t>
      </w:r>
      <w:r w:rsidR="00F06E45">
        <w:rPr>
          <w:rFonts w:ascii="Arial" w:hAnsi="Arial" w:cs="Arial"/>
          <w:sz w:val="20"/>
          <w:szCs w:val="20"/>
        </w:rPr>
        <w:t xml:space="preserve">exceeding </w:t>
      </w:r>
      <w:r w:rsidRPr="00057082">
        <w:rPr>
          <w:rFonts w:ascii="Arial" w:hAnsi="Arial" w:cs="Arial"/>
          <w:sz w:val="20"/>
          <w:szCs w:val="20"/>
        </w:rPr>
        <w:t>o</w:t>
      </w:r>
      <w:r w:rsidR="00F06E45">
        <w:rPr>
          <w:rFonts w:ascii="Arial" w:hAnsi="Arial" w:cs="Arial"/>
          <w:sz w:val="20"/>
          <w:szCs w:val="20"/>
        </w:rPr>
        <w:t>f charter capital, insolvency</w:t>
      </w:r>
    </w:p>
    <w:p w:rsidR="004E6AB0" w:rsidRDefault="000570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7082">
        <w:rPr>
          <w:rFonts w:ascii="Arial" w:hAnsi="Arial" w:cs="Arial"/>
          <w:sz w:val="20"/>
          <w:szCs w:val="20"/>
        </w:rPr>
        <w:t xml:space="preserve">Therefore, Mr. Nguyen Van Hong requested the People's Court of Ho Chi Minh City to open bankruptcy procedures for </w:t>
      </w:r>
      <w:proofErr w:type="spellStart"/>
      <w:r w:rsidR="004E6AB0" w:rsidRPr="004E6AB0">
        <w:rPr>
          <w:rFonts w:ascii="Arial" w:hAnsi="Arial" w:cs="Arial"/>
          <w:sz w:val="20"/>
          <w:szCs w:val="20"/>
        </w:rPr>
        <w:t>Saigontourist</w:t>
      </w:r>
      <w:proofErr w:type="spellEnd"/>
      <w:r w:rsidR="004E6AB0" w:rsidRPr="004E6AB0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="004E6AB0" w:rsidRPr="004E6AB0">
        <w:rPr>
          <w:rFonts w:ascii="Arial" w:hAnsi="Arial" w:cs="Arial"/>
          <w:sz w:val="20"/>
          <w:szCs w:val="20"/>
        </w:rPr>
        <w:t>Coporation</w:t>
      </w:r>
      <w:proofErr w:type="spellEnd"/>
      <w:r w:rsidR="004E6AB0" w:rsidRPr="004E6AB0">
        <w:rPr>
          <w:rFonts w:ascii="Arial" w:hAnsi="Arial" w:cs="Arial"/>
          <w:sz w:val="20"/>
          <w:szCs w:val="20"/>
        </w:rPr>
        <w:t xml:space="preserve"> </w:t>
      </w:r>
    </w:p>
    <w:p w:rsidR="004E6AB0" w:rsidRDefault="000570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7082">
        <w:rPr>
          <w:rFonts w:ascii="Arial" w:hAnsi="Arial" w:cs="Arial"/>
          <w:sz w:val="20"/>
          <w:szCs w:val="20"/>
        </w:rPr>
        <w:t xml:space="preserve">Pursuant to Clause 1, Article 40 of the Bankruptcy Law, the Ho Chi Minh City People's Court notifies Ho Chi Minh City People's </w:t>
      </w:r>
      <w:proofErr w:type="spellStart"/>
      <w:r w:rsidRPr="00057082">
        <w:rPr>
          <w:rFonts w:ascii="Arial" w:hAnsi="Arial" w:cs="Arial"/>
          <w:sz w:val="20"/>
          <w:szCs w:val="20"/>
        </w:rPr>
        <w:t>Procuracy</w:t>
      </w:r>
      <w:proofErr w:type="spellEnd"/>
      <w:r w:rsidRPr="00057082">
        <w:rPr>
          <w:rFonts w:ascii="Arial" w:hAnsi="Arial" w:cs="Arial"/>
          <w:sz w:val="20"/>
          <w:szCs w:val="20"/>
        </w:rPr>
        <w:t xml:space="preserve">, Mr. Nguyen Van Hong, </w:t>
      </w:r>
      <w:proofErr w:type="spellStart"/>
      <w:r w:rsidR="004E6AB0" w:rsidRPr="004E6AB0">
        <w:rPr>
          <w:rFonts w:ascii="Arial" w:hAnsi="Arial" w:cs="Arial"/>
          <w:sz w:val="20"/>
          <w:szCs w:val="20"/>
        </w:rPr>
        <w:t>Saigontourist</w:t>
      </w:r>
      <w:proofErr w:type="spellEnd"/>
      <w:r w:rsidR="004E6AB0" w:rsidRPr="004E6AB0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="004E6AB0" w:rsidRPr="004E6AB0">
        <w:rPr>
          <w:rFonts w:ascii="Arial" w:hAnsi="Arial" w:cs="Arial"/>
          <w:sz w:val="20"/>
          <w:szCs w:val="20"/>
        </w:rPr>
        <w:t>Coporation</w:t>
      </w:r>
      <w:proofErr w:type="spellEnd"/>
      <w:r w:rsidR="004E6AB0" w:rsidRPr="004E6AB0">
        <w:rPr>
          <w:rFonts w:ascii="Arial" w:hAnsi="Arial" w:cs="Arial"/>
          <w:sz w:val="20"/>
          <w:szCs w:val="20"/>
        </w:rPr>
        <w:t xml:space="preserve"> </w:t>
      </w:r>
    </w:p>
    <w:p w:rsidR="00DA42EF" w:rsidRDefault="00AB02D2" w:rsidP="00AB02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02D2">
        <w:rPr>
          <w:rFonts w:ascii="Arial" w:hAnsi="Arial" w:cs="Arial"/>
          <w:sz w:val="20"/>
          <w:szCs w:val="20"/>
        </w:rPr>
        <w:t xml:space="preserve">Within 15 days after receiving the notice from the People's Court of Ho Chi Minh City, </w:t>
      </w:r>
      <w:proofErr w:type="spellStart"/>
      <w:r w:rsidRPr="00AB02D2">
        <w:rPr>
          <w:rFonts w:ascii="Arial" w:hAnsi="Arial" w:cs="Arial"/>
          <w:sz w:val="20"/>
          <w:szCs w:val="20"/>
        </w:rPr>
        <w:t>Saigontourist</w:t>
      </w:r>
      <w:proofErr w:type="spellEnd"/>
      <w:r w:rsidRPr="00AB02D2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AB02D2">
        <w:rPr>
          <w:rFonts w:ascii="Arial" w:hAnsi="Arial" w:cs="Arial"/>
          <w:sz w:val="20"/>
          <w:szCs w:val="20"/>
        </w:rPr>
        <w:t>Coporation</w:t>
      </w:r>
      <w:proofErr w:type="spellEnd"/>
      <w:r w:rsidRPr="00AB02D2">
        <w:rPr>
          <w:rFonts w:ascii="Arial" w:hAnsi="Arial" w:cs="Arial"/>
          <w:sz w:val="20"/>
          <w:szCs w:val="20"/>
        </w:rPr>
        <w:t xml:space="preserve"> must produce to the Ho Chi Minh City People's Court papers and </w:t>
      </w:r>
      <w:r w:rsidR="00DA42EF">
        <w:rPr>
          <w:rFonts w:ascii="Arial" w:hAnsi="Arial" w:cs="Arial"/>
          <w:sz w:val="20"/>
          <w:szCs w:val="20"/>
        </w:rPr>
        <w:t>m</w:t>
      </w:r>
      <w:r w:rsidRPr="00AB02D2">
        <w:rPr>
          <w:rFonts w:ascii="Arial" w:hAnsi="Arial" w:cs="Arial"/>
          <w:sz w:val="20"/>
          <w:szCs w:val="20"/>
        </w:rPr>
        <w:t>ateri</w:t>
      </w:r>
      <w:r w:rsidR="00DA42EF">
        <w:rPr>
          <w:rFonts w:ascii="Arial" w:hAnsi="Arial" w:cs="Arial"/>
          <w:sz w:val="20"/>
          <w:szCs w:val="20"/>
        </w:rPr>
        <w:t>als including</w:t>
      </w:r>
      <w:r w:rsidRPr="00AB02D2">
        <w:rPr>
          <w:rFonts w:ascii="Arial" w:hAnsi="Arial" w:cs="Arial"/>
          <w:sz w:val="20"/>
          <w:szCs w:val="20"/>
        </w:rPr>
        <w:t xml:space="preserve">: </w:t>
      </w:r>
    </w:p>
    <w:p w:rsidR="009937F1" w:rsidRDefault="00DA42EF" w:rsidP="00AB02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Financial statement</w:t>
      </w:r>
      <w:r w:rsidR="00AB02D2" w:rsidRPr="00AB02D2">
        <w:rPr>
          <w:rFonts w:ascii="Arial" w:hAnsi="Arial" w:cs="Arial"/>
          <w:sz w:val="20"/>
          <w:szCs w:val="20"/>
        </w:rPr>
        <w:t xml:space="preserve"> of the enterprise in</w:t>
      </w:r>
      <w:r>
        <w:rPr>
          <w:rFonts w:ascii="Arial" w:hAnsi="Arial" w:cs="Arial"/>
          <w:sz w:val="20"/>
          <w:szCs w:val="20"/>
        </w:rPr>
        <w:t xml:space="preserve"> the latest 3 years.  In case the</w:t>
      </w:r>
      <w:r w:rsidR="00AB02D2" w:rsidRPr="00AB02D2">
        <w:rPr>
          <w:rFonts w:ascii="Arial" w:hAnsi="Arial" w:cs="Arial"/>
          <w:sz w:val="20"/>
          <w:szCs w:val="20"/>
        </w:rPr>
        <w:t xml:space="preserve"> en</w:t>
      </w:r>
      <w:r>
        <w:rPr>
          <w:rFonts w:ascii="Arial" w:hAnsi="Arial" w:cs="Arial"/>
          <w:sz w:val="20"/>
          <w:szCs w:val="20"/>
        </w:rPr>
        <w:t>terprise is established and operates</w:t>
      </w:r>
      <w:r w:rsidR="00AB02D2" w:rsidRPr="00AB02D2">
        <w:rPr>
          <w:rFonts w:ascii="Arial" w:hAnsi="Arial" w:cs="Arial"/>
          <w:sz w:val="20"/>
          <w:szCs w:val="20"/>
        </w:rPr>
        <w:t xml:space="preserve"> for less than 03 years, it must enclose with the financi</w:t>
      </w:r>
      <w:r w:rsidR="009937F1">
        <w:rPr>
          <w:rFonts w:ascii="Arial" w:hAnsi="Arial" w:cs="Arial"/>
          <w:sz w:val="20"/>
          <w:szCs w:val="20"/>
        </w:rPr>
        <w:t xml:space="preserve">al statement of the enterprise </w:t>
      </w:r>
      <w:r w:rsidR="00AB02D2" w:rsidRPr="00AB02D2">
        <w:rPr>
          <w:rFonts w:ascii="Arial" w:hAnsi="Arial" w:cs="Arial"/>
          <w:sz w:val="20"/>
          <w:szCs w:val="20"/>
        </w:rPr>
        <w:t xml:space="preserve">for the entire </w:t>
      </w:r>
      <w:r w:rsidR="009937F1">
        <w:rPr>
          <w:rFonts w:ascii="Arial" w:hAnsi="Arial" w:cs="Arial"/>
          <w:sz w:val="20"/>
          <w:szCs w:val="20"/>
        </w:rPr>
        <w:t>operation period</w:t>
      </w:r>
    </w:p>
    <w:p w:rsidR="009937F1" w:rsidRDefault="00AB02D2" w:rsidP="00AB02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02D2">
        <w:rPr>
          <w:rFonts w:ascii="Arial" w:hAnsi="Arial" w:cs="Arial"/>
          <w:sz w:val="20"/>
          <w:szCs w:val="20"/>
        </w:rPr>
        <w:t>2</w:t>
      </w:r>
      <w:r w:rsidR="009937F1">
        <w:rPr>
          <w:rFonts w:ascii="Arial" w:hAnsi="Arial" w:cs="Arial"/>
          <w:sz w:val="20"/>
          <w:szCs w:val="20"/>
        </w:rPr>
        <w:t>. An explanation on</w:t>
      </w:r>
      <w:r w:rsidRPr="00AB02D2">
        <w:rPr>
          <w:rFonts w:ascii="Arial" w:hAnsi="Arial" w:cs="Arial"/>
          <w:sz w:val="20"/>
          <w:szCs w:val="20"/>
        </w:rPr>
        <w:t xml:space="preserve"> the cau</w:t>
      </w:r>
      <w:r w:rsidR="009937F1">
        <w:rPr>
          <w:rFonts w:ascii="Arial" w:hAnsi="Arial" w:cs="Arial"/>
          <w:sz w:val="20"/>
          <w:szCs w:val="20"/>
        </w:rPr>
        <w:t xml:space="preserve">ses leading to the insolvency; </w:t>
      </w:r>
      <w:r w:rsidRPr="00AB02D2">
        <w:rPr>
          <w:rFonts w:ascii="Arial" w:hAnsi="Arial" w:cs="Arial"/>
          <w:sz w:val="20"/>
          <w:szCs w:val="20"/>
        </w:rPr>
        <w:t>report on the results of implementing measures to resto</w:t>
      </w:r>
      <w:r w:rsidR="009937F1">
        <w:rPr>
          <w:rFonts w:ascii="Arial" w:hAnsi="Arial" w:cs="Arial"/>
          <w:sz w:val="20"/>
          <w:szCs w:val="20"/>
        </w:rPr>
        <w:t>re the enterprise but still can</w:t>
      </w:r>
      <w:r w:rsidRPr="00AB02D2">
        <w:rPr>
          <w:rFonts w:ascii="Arial" w:hAnsi="Arial" w:cs="Arial"/>
          <w:sz w:val="20"/>
          <w:szCs w:val="20"/>
        </w:rPr>
        <w:t xml:space="preserve">not overcome the insolvency;  </w:t>
      </w:r>
    </w:p>
    <w:p w:rsidR="00585283" w:rsidRDefault="00AB02D2" w:rsidP="00AB02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02D2">
        <w:rPr>
          <w:rFonts w:ascii="Arial" w:hAnsi="Arial" w:cs="Arial"/>
          <w:sz w:val="20"/>
          <w:szCs w:val="20"/>
        </w:rPr>
        <w:t>3. A detailed list of properties and locations where</w:t>
      </w:r>
      <w:r w:rsidR="00585283">
        <w:rPr>
          <w:rFonts w:ascii="Arial" w:hAnsi="Arial" w:cs="Arial"/>
          <w:sz w:val="20"/>
          <w:szCs w:val="20"/>
        </w:rPr>
        <w:t xml:space="preserve"> contain</w:t>
      </w:r>
      <w:r w:rsidRPr="00AB02D2">
        <w:rPr>
          <w:rFonts w:ascii="Arial" w:hAnsi="Arial" w:cs="Arial"/>
          <w:sz w:val="20"/>
          <w:szCs w:val="20"/>
        </w:rPr>
        <w:t xml:space="preserve"> the assets</w:t>
      </w:r>
      <w:r w:rsidR="00585283">
        <w:rPr>
          <w:rFonts w:ascii="Arial" w:hAnsi="Arial" w:cs="Arial"/>
          <w:sz w:val="20"/>
          <w:szCs w:val="20"/>
        </w:rPr>
        <w:t xml:space="preserve"> of the enterprise</w:t>
      </w:r>
    </w:p>
    <w:p w:rsidR="00E208B9" w:rsidRDefault="00585283" w:rsidP="00AB02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AB02D2" w:rsidRPr="00AB02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="00AB02D2" w:rsidRPr="00AB02D2">
        <w:rPr>
          <w:rFonts w:ascii="Arial" w:hAnsi="Arial" w:cs="Arial"/>
          <w:sz w:val="20"/>
          <w:szCs w:val="20"/>
        </w:rPr>
        <w:t>he list of debtors, including the name and a</w:t>
      </w:r>
      <w:r w:rsidR="00E208B9">
        <w:rPr>
          <w:rFonts w:ascii="Arial" w:hAnsi="Arial" w:cs="Arial"/>
          <w:sz w:val="20"/>
          <w:szCs w:val="20"/>
        </w:rPr>
        <w:t xml:space="preserve">ddress of the creditor; </w:t>
      </w:r>
      <w:r w:rsidR="00AB02D2" w:rsidRPr="00AB02D2">
        <w:rPr>
          <w:rFonts w:ascii="Arial" w:hAnsi="Arial" w:cs="Arial"/>
          <w:sz w:val="20"/>
          <w:szCs w:val="20"/>
        </w:rPr>
        <w:t xml:space="preserve">secured loans, unsecured loans, due </w:t>
      </w:r>
      <w:r w:rsidR="00E208B9">
        <w:rPr>
          <w:rFonts w:ascii="Arial" w:hAnsi="Arial" w:cs="Arial"/>
          <w:sz w:val="20"/>
          <w:szCs w:val="20"/>
        </w:rPr>
        <w:t>or undue loans</w:t>
      </w:r>
    </w:p>
    <w:p w:rsidR="00E208B9" w:rsidRDefault="00E208B9" w:rsidP="00AB02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D</w:t>
      </w:r>
      <w:r w:rsidR="00AB02D2" w:rsidRPr="00AB02D2">
        <w:rPr>
          <w:rFonts w:ascii="Arial" w:hAnsi="Arial" w:cs="Arial"/>
          <w:sz w:val="20"/>
          <w:szCs w:val="20"/>
        </w:rPr>
        <w:t xml:space="preserve">ocuments related to the establishment of the enterprise;  </w:t>
      </w:r>
    </w:p>
    <w:p w:rsidR="00057082" w:rsidRDefault="00593478" w:rsidP="00AB02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Result of valuation of the remaining assets (if any)</w:t>
      </w:r>
      <w:r w:rsidR="00227A9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057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43A48"/>
    <w:rsid w:val="00050E3D"/>
    <w:rsid w:val="00057082"/>
    <w:rsid w:val="000603A9"/>
    <w:rsid w:val="00066EE1"/>
    <w:rsid w:val="00075754"/>
    <w:rsid w:val="0007586C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047D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27A9D"/>
    <w:rsid w:val="00230BF1"/>
    <w:rsid w:val="002319EE"/>
    <w:rsid w:val="002510BB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2CEA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0134"/>
    <w:rsid w:val="003B73F7"/>
    <w:rsid w:val="003B7790"/>
    <w:rsid w:val="003C1805"/>
    <w:rsid w:val="003C4606"/>
    <w:rsid w:val="003D18D5"/>
    <w:rsid w:val="003E60D6"/>
    <w:rsid w:val="003E73CA"/>
    <w:rsid w:val="00403A9C"/>
    <w:rsid w:val="00406D45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4E6AB0"/>
    <w:rsid w:val="004F6CE2"/>
    <w:rsid w:val="00503DD6"/>
    <w:rsid w:val="00505065"/>
    <w:rsid w:val="0052379D"/>
    <w:rsid w:val="0053093D"/>
    <w:rsid w:val="0055067A"/>
    <w:rsid w:val="00551837"/>
    <w:rsid w:val="00551A83"/>
    <w:rsid w:val="005610CB"/>
    <w:rsid w:val="00576A91"/>
    <w:rsid w:val="00584222"/>
    <w:rsid w:val="0058434E"/>
    <w:rsid w:val="00585283"/>
    <w:rsid w:val="00585B82"/>
    <w:rsid w:val="005906FC"/>
    <w:rsid w:val="00593478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1128E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32D2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077F"/>
    <w:rsid w:val="00934FC0"/>
    <w:rsid w:val="00937D79"/>
    <w:rsid w:val="009410B8"/>
    <w:rsid w:val="00945C3A"/>
    <w:rsid w:val="009464B8"/>
    <w:rsid w:val="00962777"/>
    <w:rsid w:val="00964DEC"/>
    <w:rsid w:val="00980267"/>
    <w:rsid w:val="00981275"/>
    <w:rsid w:val="00981536"/>
    <w:rsid w:val="0099040A"/>
    <w:rsid w:val="009937F1"/>
    <w:rsid w:val="009A6F47"/>
    <w:rsid w:val="009A7454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02D2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079D1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0C2C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A3BCC"/>
    <w:rsid w:val="00CB5C91"/>
    <w:rsid w:val="00CC39D3"/>
    <w:rsid w:val="00CD1C0C"/>
    <w:rsid w:val="00CD22F3"/>
    <w:rsid w:val="00CD696B"/>
    <w:rsid w:val="00CE35DA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0D2E"/>
    <w:rsid w:val="00D821E1"/>
    <w:rsid w:val="00D82848"/>
    <w:rsid w:val="00D8674C"/>
    <w:rsid w:val="00D86BED"/>
    <w:rsid w:val="00D92EFF"/>
    <w:rsid w:val="00D9503E"/>
    <w:rsid w:val="00DA199B"/>
    <w:rsid w:val="00DA3531"/>
    <w:rsid w:val="00DA42EF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8B9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37DE"/>
    <w:rsid w:val="00ED3B40"/>
    <w:rsid w:val="00ED6D41"/>
    <w:rsid w:val="00EE1E34"/>
    <w:rsid w:val="00EF091F"/>
    <w:rsid w:val="00EF47D6"/>
    <w:rsid w:val="00F06E45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438E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1C1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302</cp:revision>
  <dcterms:created xsi:type="dcterms:W3CDTF">2019-10-16T10:03:00Z</dcterms:created>
  <dcterms:modified xsi:type="dcterms:W3CDTF">2020-06-02T09:10:00Z</dcterms:modified>
</cp:coreProperties>
</file>